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A416D" w:rsidRPr="00BC71AE" w:rsidRDefault="00BA416D" w:rsidP="005C7E0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постановлением </w:t>
            </w:r>
            <w:r w:rsidR="005C7E0B">
              <w:rPr>
                <w:sz w:val="28"/>
                <w:szCs w:val="28"/>
              </w:rPr>
              <w:t xml:space="preserve">Главы АМС Ирафского района 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44F38">
              <w:rPr>
                <w:sz w:val="28"/>
                <w:szCs w:val="28"/>
              </w:rPr>
              <w:t>02.09.</w:t>
            </w:r>
            <w:r w:rsidRPr="00BC71AE">
              <w:rPr>
                <w:sz w:val="28"/>
                <w:szCs w:val="28"/>
              </w:rPr>
              <w:t xml:space="preserve">     2020 г. №</w:t>
            </w:r>
            <w:r w:rsidR="00E44F38">
              <w:rPr>
                <w:sz w:val="28"/>
                <w:szCs w:val="28"/>
              </w:rPr>
              <w:t xml:space="preserve"> 400</w:t>
            </w:r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236626" w:rsidP="00BA416D">
      <w:pPr>
        <w:pStyle w:val="ConsPlusNormal"/>
        <w:jc w:val="center"/>
        <w:outlineLvl w:val="0"/>
        <w:rPr>
          <w:sz w:val="28"/>
          <w:szCs w:val="28"/>
        </w:rPr>
      </w:pP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5C7E0B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C47D88" w:rsidRPr="00BC71AE">
        <w:rPr>
          <w:rFonts w:ascii="Times New Roman" w:hAnsi="Times New Roman" w:cs="Times New Roman"/>
          <w:sz w:val="28"/>
          <w:szCs w:val="28"/>
        </w:rPr>
        <w:t xml:space="preserve">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обучающихся</w:t>
      </w:r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1-4 классов муниципальных образовательных </w:t>
      </w:r>
      <w:r w:rsidR="005C7E0B">
        <w:rPr>
          <w:rFonts w:ascii="Times New Roman" w:hAnsi="Times New Roman" w:cs="Times New Roman"/>
          <w:sz w:val="28"/>
          <w:szCs w:val="28"/>
        </w:rPr>
        <w:t>учреждений</w:t>
      </w:r>
      <w:r w:rsidRPr="00BC71AE">
        <w:rPr>
          <w:rFonts w:ascii="Times New Roman" w:hAnsi="Times New Roman" w:cs="Times New Roman"/>
          <w:sz w:val="28"/>
          <w:szCs w:val="28"/>
        </w:rPr>
        <w:t xml:space="preserve"> в </w:t>
      </w:r>
      <w:r w:rsidR="005C7E0B">
        <w:rPr>
          <w:rFonts w:ascii="Times New Roman" w:hAnsi="Times New Roman" w:cs="Times New Roman"/>
          <w:sz w:val="28"/>
          <w:szCs w:val="28"/>
        </w:rPr>
        <w:t>Ирафском районе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r w:rsidR="005C7E0B">
        <w:rPr>
          <w:rFonts w:ascii="Times New Roman" w:hAnsi="Times New Roman"/>
          <w:sz w:val="28"/>
          <w:szCs w:val="28"/>
        </w:rPr>
        <w:t xml:space="preserve">Муниципальный </w:t>
      </w:r>
      <w:r w:rsidR="002710BC" w:rsidRPr="00F35E76">
        <w:rPr>
          <w:rFonts w:ascii="Times New Roman" w:hAnsi="Times New Roman"/>
          <w:sz w:val="28"/>
          <w:szCs w:val="28"/>
        </w:rPr>
        <w:t xml:space="preserve"> стандарт оказания услуги по обеспечению горячим питанием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 xml:space="preserve"> учреждений </w:t>
      </w:r>
      <w:r w:rsidR="002710BC" w:rsidRPr="00F35E76">
        <w:rPr>
          <w:rFonts w:ascii="Times New Roman" w:hAnsi="Times New Roman"/>
          <w:sz w:val="28"/>
          <w:szCs w:val="28"/>
        </w:rPr>
        <w:t xml:space="preserve"> в </w:t>
      </w:r>
      <w:r w:rsidR="00D826F4">
        <w:rPr>
          <w:rFonts w:ascii="Times New Roman" w:hAnsi="Times New Roman"/>
          <w:sz w:val="28"/>
          <w:szCs w:val="28"/>
        </w:rPr>
        <w:t>Ирафском районе</w:t>
      </w:r>
      <w:r w:rsidR="002710BC" w:rsidRPr="00F35E76">
        <w:rPr>
          <w:rFonts w:ascii="Times New Roman" w:hAnsi="Times New Roman"/>
          <w:sz w:val="28"/>
          <w:szCs w:val="28"/>
        </w:rPr>
        <w:t xml:space="preserve"> 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современную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 xml:space="preserve">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>– сохранение и укрепление здоровья обучающихся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установление унифицированных требований к организации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>Стандарт представляет собой совокупность требований к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>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экономическим условиям организации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1" w:name="_Toc302639017"/>
      <w:bookmarkStart w:id="2" w:name="_Toc302647779"/>
      <w:bookmarkStart w:id="3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D826F4">
        <w:rPr>
          <w:rFonts w:ascii="Times New Roman" w:hAnsi="Times New Roman"/>
          <w:b/>
          <w:sz w:val="28"/>
          <w:szCs w:val="28"/>
        </w:rPr>
        <w:t>м</w:t>
      </w:r>
      <w:r w:rsidR="00195AE4" w:rsidRPr="000D51E1">
        <w:rPr>
          <w:rFonts w:ascii="Times New Roman" w:hAnsi="Times New Roman"/>
          <w:b/>
          <w:sz w:val="28"/>
          <w:szCs w:val="28"/>
        </w:rPr>
        <w:t xml:space="preserve"> </w:t>
      </w:r>
      <w:bookmarkStart w:id="4" w:name="_Toc302647780"/>
      <w:bookmarkStart w:id="5" w:name="_Toc302652229"/>
      <w:bookmarkEnd w:id="1"/>
      <w:bookmarkEnd w:id="2"/>
      <w:bookmarkEnd w:id="3"/>
      <w:r w:rsidR="00D826F4">
        <w:rPr>
          <w:rFonts w:ascii="Times New Roman" w:hAnsi="Times New Roman"/>
          <w:b/>
          <w:sz w:val="28"/>
          <w:szCs w:val="28"/>
        </w:rPr>
        <w:t>учреждении</w:t>
      </w:r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4"/>
      <w:bookmarkEnd w:id="5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Все продукты и блюда, используемые в питании обучающихся </w:t>
      </w:r>
      <w:r w:rsidR="00D826F4">
        <w:rPr>
          <w:rFonts w:ascii="Times New Roman" w:hAnsi="Times New Roman"/>
          <w:sz w:val="28"/>
          <w:szCs w:val="28"/>
        </w:rPr>
        <w:t xml:space="preserve">и воспитанников в образовательного </w:t>
      </w:r>
      <w:r w:rsidR="00195AE4" w:rsidRPr="00F35E76">
        <w:rPr>
          <w:rFonts w:ascii="Times New Roman" w:hAnsi="Times New Roman"/>
          <w:sz w:val="28"/>
          <w:szCs w:val="28"/>
        </w:rPr>
        <w:t xml:space="preserve"> </w:t>
      </w:r>
      <w:r w:rsidR="00D826F4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bookmarkStart w:id="6" w:name="_Toc302647781"/>
      <w:bookmarkStart w:id="7" w:name="_Toc302652230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6"/>
      <w:bookmarkEnd w:id="7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оборотоспособности в них пищевых продуктов и продовольственного сырья СанПиН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ода</w:t>
      </w:r>
      <w:r w:rsidR="00AF7161" w:rsidRPr="000576E0">
        <w:rPr>
          <w:rFonts w:ascii="Times New Roman" w:hAnsi="Times New Roman"/>
          <w:sz w:val="28"/>
          <w:szCs w:val="28"/>
        </w:rPr>
        <w:t xml:space="preserve">(далее – </w:t>
      </w:r>
      <w:r w:rsidRPr="000576E0">
        <w:rPr>
          <w:rFonts w:ascii="Times New Roman" w:hAnsi="Times New Roman"/>
          <w:sz w:val="28"/>
          <w:szCs w:val="28"/>
        </w:rPr>
        <w:t xml:space="preserve"> СанПиН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530E26"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 xml:space="preserve">, утверждённым постановлением Главного государственного санитарного врача Российской Федерации от 23 июля 2008 года № 45 (далее – </w:t>
      </w:r>
      <w:r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>продукции (товарам), подлежащей санитарно-эпидемиологическому надзору (контролю)</w:t>
      </w:r>
      <w:r w:rsidRPr="00F35E76">
        <w:rPr>
          <w:rFonts w:ascii="Times New Roman" w:hAnsi="Times New Roman"/>
          <w:sz w:val="28"/>
          <w:szCs w:val="28"/>
        </w:rPr>
        <w:t>, 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 Комиссии т</w:t>
      </w:r>
      <w:r w:rsidRPr="00F35E76">
        <w:rPr>
          <w:rStyle w:val="FontStyle33"/>
          <w:b w:val="0"/>
          <w:sz w:val="28"/>
          <w:szCs w:val="28"/>
        </w:rPr>
        <w:t>аможенного союза от 28 мая 2010 года № 299.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мытью и хранению столовой посуды и приборов изложены в СП 2.3.6.1079-01,</w:t>
      </w:r>
      <w:bookmarkStart w:id="8" w:name="_Toc302647783"/>
      <w:bookmarkStart w:id="9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8"/>
      <w:bookmarkEnd w:id="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иях</w:t>
      </w:r>
      <w:r w:rsidR="000D51E1" w:rsidRPr="000D51E1">
        <w:rPr>
          <w:rFonts w:ascii="Times New Roman" w:hAnsi="Times New Roman"/>
          <w:sz w:val="28"/>
          <w:szCs w:val="28"/>
        </w:rPr>
        <w:t>,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8259C" w:rsidRPr="00F35E76">
        <w:rPr>
          <w:rFonts w:ascii="Times New Roman" w:hAnsi="Times New Roman"/>
          <w:sz w:val="28"/>
          <w:szCs w:val="28"/>
        </w:rPr>
        <w:t>приведён в</w:t>
      </w:r>
      <w:r w:rsidRPr="00F35E76">
        <w:rPr>
          <w:rFonts w:ascii="Times New Roman" w:hAnsi="Times New Roman"/>
          <w:sz w:val="28"/>
          <w:szCs w:val="28"/>
        </w:rPr>
        <w:t xml:space="preserve"> СанПиН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0" w:name="_Toc302647784"/>
      <w:bookmarkStart w:id="11" w:name="_Toc302652233"/>
      <w:r w:rsidRPr="00F35E76">
        <w:rPr>
          <w:rFonts w:ascii="Times New Roman" w:hAnsi="Times New Roman"/>
          <w:sz w:val="28"/>
          <w:szCs w:val="28"/>
        </w:rPr>
        <w:t>дставлен в СанПиН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0"/>
      <w:bookmarkEnd w:id="11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2" w:name="_Toc302647785"/>
      <w:bookmarkStart w:id="13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2"/>
      <w:bookmarkEnd w:id="13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>ий СанПиН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Toc302647786"/>
      <w:bookmarkStart w:id="15" w:name="_Toc302652235"/>
      <w:r w:rsidRPr="00F35E76">
        <w:rPr>
          <w:rFonts w:ascii="Times New Roman" w:hAnsi="Times New Roman"/>
          <w:sz w:val="28"/>
          <w:szCs w:val="28"/>
        </w:rPr>
        <w:t>Состав и структура ра</w:t>
      </w:r>
      <w:r w:rsidR="00432ED1">
        <w:rPr>
          <w:rFonts w:ascii="Times New Roman" w:hAnsi="Times New Roman"/>
          <w:sz w:val="28"/>
          <w:szCs w:val="28"/>
        </w:rPr>
        <w:t xml:space="preserve">ционов питания в образовательном учреждении </w:t>
      </w:r>
      <w:r w:rsidRPr="00F35E76">
        <w:rPr>
          <w:rFonts w:ascii="Times New Roman" w:hAnsi="Times New Roman"/>
          <w:sz w:val="28"/>
          <w:szCs w:val="28"/>
        </w:rPr>
        <w:t xml:space="preserve"> определяются единым меню, разработанным на основании санитарно-эпидемиологических требований учредител</w:t>
      </w:r>
      <w:r w:rsidR="00432ED1">
        <w:rPr>
          <w:rFonts w:ascii="Times New Roman" w:hAnsi="Times New Roman"/>
          <w:sz w:val="28"/>
          <w:szCs w:val="28"/>
        </w:rPr>
        <w:t>ем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учреждения </w:t>
      </w:r>
      <w:r w:rsidRPr="00F35E76">
        <w:rPr>
          <w:rFonts w:ascii="Times New Roman" w:hAnsi="Times New Roman"/>
          <w:sz w:val="28"/>
          <w:szCs w:val="28"/>
        </w:rPr>
        <w:t xml:space="preserve">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</w:t>
      </w:r>
      <w:r w:rsidR="00432ED1">
        <w:rPr>
          <w:rFonts w:ascii="Times New Roman" w:hAnsi="Times New Roman"/>
          <w:sz w:val="28"/>
          <w:szCs w:val="28"/>
        </w:rPr>
        <w:t xml:space="preserve">ым 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учреждением </w:t>
      </w:r>
      <w:r w:rsidRPr="00F35E76">
        <w:rPr>
          <w:rFonts w:ascii="Times New Roman" w:hAnsi="Times New Roman"/>
          <w:sz w:val="28"/>
          <w:szCs w:val="28"/>
        </w:rPr>
        <w:t xml:space="preserve">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профилактике витаминной и микроэлементной недостаточности изложены в СанПиН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_Toc302647787"/>
      <w:bookmarkStart w:id="17" w:name="_Toc302652236"/>
      <w:bookmarkEnd w:id="14"/>
      <w:bookmarkEnd w:id="15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6"/>
      <w:bookmarkEnd w:id="17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питьевого режима в образовательных </w:t>
      </w:r>
      <w:r w:rsidR="00432ED1">
        <w:rPr>
          <w:sz w:val="28"/>
          <w:szCs w:val="28"/>
        </w:rPr>
        <w:t>учреждени</w:t>
      </w:r>
      <w:r w:rsidR="00943896" w:rsidRPr="00F35E76">
        <w:rPr>
          <w:sz w:val="28"/>
          <w:szCs w:val="28"/>
        </w:rPr>
        <w:t xml:space="preserve">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>ребований СанПиН 2.4.5.2409-08.</w:t>
      </w:r>
      <w:bookmarkStart w:id="18" w:name="_Toc302647788"/>
      <w:bookmarkStart w:id="19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8"/>
      <w:bookmarkEnd w:id="19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СанПиН 2.4.5.2409-08</w:t>
      </w:r>
      <w:r w:rsidR="00EB3A09" w:rsidRPr="00F35E76">
        <w:rPr>
          <w:sz w:val="28"/>
          <w:szCs w:val="28"/>
        </w:rPr>
        <w:t>.</w:t>
      </w:r>
      <w:bookmarkStart w:id="20" w:name="_Toc302647789"/>
      <w:bookmarkStart w:id="21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</w:t>
      </w:r>
      <w:r w:rsidR="00432ED1">
        <w:rPr>
          <w:sz w:val="28"/>
          <w:szCs w:val="28"/>
        </w:rPr>
        <w:t xml:space="preserve">учреждений </w:t>
      </w:r>
      <w:r w:rsidR="00F47588" w:rsidRPr="00F35E76">
        <w:rPr>
          <w:sz w:val="28"/>
          <w:szCs w:val="28"/>
        </w:rPr>
        <w:t xml:space="preserve">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2" w:name="_Toc302640008"/>
      <w:bookmarkStart w:id="23" w:name="_Toc302647797"/>
      <w:bookmarkStart w:id="24" w:name="_Toc302652246"/>
      <w:bookmarkEnd w:id="20"/>
      <w:bookmarkEnd w:id="21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432ED1" w:rsidRDefault="00BA416D" w:rsidP="004229D5">
      <w:pPr>
        <w:pStyle w:val="21"/>
        <w:spacing w:line="276" w:lineRule="auto"/>
        <w:rPr>
          <w:b/>
          <w:sz w:val="28"/>
          <w:szCs w:val="28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bookmarkStart w:id="25" w:name="_Toc302647798"/>
      <w:bookmarkStart w:id="26" w:name="_Toc302652247"/>
      <w:bookmarkEnd w:id="22"/>
      <w:bookmarkEnd w:id="23"/>
      <w:bookmarkEnd w:id="24"/>
      <w:r w:rsidR="00432ED1">
        <w:rPr>
          <w:b/>
          <w:sz w:val="28"/>
          <w:szCs w:val="28"/>
        </w:rPr>
        <w:t>учреждений</w:t>
      </w:r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</w:t>
      </w:r>
      <w:r w:rsidR="00432ED1">
        <w:rPr>
          <w:sz w:val="28"/>
          <w:szCs w:val="28"/>
        </w:rPr>
        <w:t xml:space="preserve"> </w:t>
      </w:r>
      <w:r w:rsidR="00C47D88" w:rsidRPr="00F35E76">
        <w:rPr>
          <w:sz w:val="28"/>
          <w:szCs w:val="28"/>
        </w:rPr>
        <w:t xml:space="preserve"> к безопасности и качеству сырья, готовых продуктов питания, тары, посуды</w:t>
      </w:r>
      <w:bookmarkEnd w:id="25"/>
      <w:bookmarkEnd w:id="26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СанПиН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года</w:t>
      </w:r>
      <w:r w:rsidRPr="00F35E76">
        <w:rPr>
          <w:rFonts w:ascii="Times New Roman" w:hAnsi="Times New Roman"/>
          <w:sz w:val="28"/>
          <w:szCs w:val="28"/>
        </w:rPr>
        <w:t xml:space="preserve">№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>от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размещении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заказов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на закупки пищевых продуктов и услуги по организации питания в образовательных </w:t>
      </w:r>
      <w:r w:rsidR="00432ED1">
        <w:rPr>
          <w:rFonts w:ascii="Times New Roman" w:hAnsi="Times New Roman"/>
          <w:sz w:val="28"/>
          <w:szCs w:val="28"/>
        </w:rPr>
        <w:t xml:space="preserve">учреждениях 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BF0128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7" w:name="_Toc302647799"/>
      <w:bookmarkStart w:id="28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7"/>
      <w:bookmarkEnd w:id="28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32ED1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Организациями общественного питания для обслуживания обучающихся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доготовочные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EC08EB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буфеты-раздаточные, осуществляющие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8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Сбор твердых бытовых и пищевых отходов на территории хозяйственной зоны следует организовывать в соответствии с                                СП 2.3.6.1079-01, СанПиН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r w:rsidR="00EB3A09"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29" w:name="_Toc302647800"/>
      <w:bookmarkStart w:id="30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29"/>
      <w:bookmarkEnd w:id="3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432ED1" w:rsidRPr="00F35E76">
        <w:rPr>
          <w:rFonts w:ascii="Times New Roman" w:hAnsi="Times New Roman"/>
          <w:sz w:val="28"/>
          <w:szCs w:val="28"/>
        </w:rPr>
        <w:t>ий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муниципальном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Хранение пищевых продуктов осуществляется в соответствии с требованиями СП 2.3.6.1079-01 и СанПиН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 целью контроля за соблюдением условий и сроков хранения скоропортящихся пищевых продуктов, требующих особых условий хранения,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проводится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контроль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>СанПиН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 2.4.5.2409-08.</w:t>
      </w:r>
      <w:bookmarkStart w:id="31" w:name="_Toc302647801"/>
      <w:bookmarkStart w:id="32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3" w:name="_Toc302647802"/>
      <w:bookmarkStart w:id="34" w:name="_Toc302652251"/>
      <w:bookmarkEnd w:id="31"/>
      <w:bookmarkEnd w:id="32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3"/>
      <w:bookmarkEnd w:id="3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Оборудование должно соответствовать </w:t>
      </w:r>
      <w:r w:rsidR="00A456E7" w:rsidRPr="00F35E76">
        <w:rPr>
          <w:rFonts w:ascii="Times New Roman" w:hAnsi="Times New Roman"/>
          <w:sz w:val="28"/>
          <w:szCs w:val="28"/>
        </w:rPr>
        <w:t xml:space="preserve">СанПиН 2.4.5.2409-08 </w:t>
      </w:r>
      <w:r w:rsidRPr="00F35E76">
        <w:rPr>
          <w:rFonts w:ascii="Times New Roman" w:hAnsi="Times New Roman"/>
          <w:sz w:val="28"/>
          <w:szCs w:val="28"/>
        </w:rPr>
        <w:t>и 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9F25F7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5" w:name="_Toc302647803"/>
      <w:bookmarkStart w:id="36" w:name="_Toc302652252"/>
      <w:r w:rsidRPr="00F35E76">
        <w:rPr>
          <w:rFonts w:ascii="Times New Roman" w:hAnsi="Times New Roman"/>
          <w:sz w:val="28"/>
          <w:szCs w:val="28"/>
        </w:rPr>
        <w:t>СанПиН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7" w:name="_Toc302647804"/>
      <w:bookmarkStart w:id="38" w:name="_Toc302652253"/>
      <w:bookmarkEnd w:id="35"/>
      <w:bookmarkEnd w:id="36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7"/>
      <w:bookmarkEnd w:id="38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r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>К работе допускаются лица, имеющие соответствующую профессиональную квалификацию, прошедшие предварительный</w:t>
      </w:r>
      <w:r w:rsidR="00CD7B7C">
        <w:rPr>
          <w:rFonts w:ascii="Times New Roman" w:hAnsi="Times New Roman"/>
          <w:bCs/>
          <w:sz w:val="28"/>
          <w:szCs w:val="28"/>
        </w:rPr>
        <w:t xml:space="preserve">  </w:t>
      </w:r>
      <w:r w:rsidR="00AB08DD">
        <w:rPr>
          <w:rFonts w:ascii="Times New Roman" w:hAnsi="Times New Roman"/>
          <w:bCs/>
          <w:sz w:val="28"/>
          <w:szCs w:val="28"/>
        </w:rPr>
        <w:t xml:space="preserve">осмотр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9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DD4251" w:rsidRDefault="00DD4251" w:rsidP="00CD7B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39" w:name="_GoBack"/>
      <w:bookmarkStart w:id="40" w:name="_Toc302640009"/>
      <w:bookmarkStart w:id="41" w:name="_Toc302647811"/>
      <w:bookmarkStart w:id="42" w:name="_Toc302652260"/>
      <w:bookmarkEnd w:id="39"/>
      <w:r w:rsidRPr="00D11C9F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</w:t>
      </w:r>
      <w:r w:rsidR="00C47D88" w:rsidRPr="00F35E76">
        <w:rPr>
          <w:rFonts w:ascii="Times New Roman" w:hAnsi="Times New Roman"/>
          <w:sz w:val="28"/>
          <w:szCs w:val="28"/>
        </w:rPr>
        <w:lastRenderedPageBreak/>
        <w:t xml:space="preserve">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Органами 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Софинансирование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>согласно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7E5">
        <w:rPr>
          <w:rFonts w:ascii="Times New Roman" w:hAnsi="Times New Roman"/>
          <w:color w:val="000000"/>
          <w:sz w:val="28"/>
          <w:szCs w:val="28"/>
        </w:rPr>
        <w:t xml:space="preserve"> которым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рекомендуется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>питания в образовательно</w:t>
      </w:r>
      <w:r w:rsidR="008751DD">
        <w:rPr>
          <w:rFonts w:ascii="Times New Roman" w:hAnsi="Times New Roman"/>
          <w:color w:val="000000"/>
          <w:sz w:val="28"/>
          <w:szCs w:val="28"/>
        </w:rPr>
        <w:t>м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1DD">
        <w:rPr>
          <w:rFonts w:ascii="Times New Roman" w:hAnsi="Times New Roman"/>
          <w:color w:val="000000"/>
          <w:sz w:val="28"/>
          <w:szCs w:val="28"/>
        </w:rPr>
        <w:t>учрежден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обслуживания (оценка по данному критерию требует сбора информации</w:t>
      </w:r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у достаточно широкого круга лиц из сторонних источников.</w:t>
      </w:r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5.1. Требования к организации и содержанию контроля за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Рук</w:t>
      </w:r>
      <w:r w:rsidR="00443562">
        <w:rPr>
          <w:rFonts w:ascii="Times New Roman" w:hAnsi="Times New Roman"/>
          <w:sz w:val="28"/>
          <w:szCs w:val="28"/>
        </w:rPr>
        <w:t>оводитель образовательного учреждения</w:t>
      </w:r>
      <w:r w:rsidRPr="00F35E76">
        <w:rPr>
          <w:rFonts w:ascii="Times New Roman" w:hAnsi="Times New Roman"/>
          <w:sz w:val="28"/>
          <w:szCs w:val="28"/>
        </w:rPr>
        <w:t xml:space="preserve">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>хвата обучающихся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r w:rsidRPr="00F35E76">
        <w:rPr>
          <w:rFonts w:ascii="Times New Roman" w:hAnsi="Times New Roman"/>
          <w:sz w:val="28"/>
          <w:szCs w:val="28"/>
        </w:rPr>
        <w:t>контроль за</w:t>
      </w:r>
      <w:r w:rsidR="00D645DC" w:rsidRPr="00F35E76">
        <w:rPr>
          <w:rFonts w:ascii="Times New Roman" w:hAnsi="Times New Roman"/>
          <w:sz w:val="28"/>
          <w:szCs w:val="28"/>
        </w:rPr>
        <w:t xml:space="preserve">качеством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="00565DF0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  <w:r w:rsidR="00565DF0" w:rsidRPr="00F35E76">
        <w:rPr>
          <w:rFonts w:ascii="Times New Roman" w:hAnsi="Times New Roman"/>
          <w:sz w:val="28"/>
          <w:szCs w:val="28"/>
        </w:rPr>
        <w:t xml:space="preserve">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00098E" w:rsidRPr="00F35E76">
        <w:rPr>
          <w:rFonts w:ascii="Times New Roman" w:hAnsi="Times New Roman"/>
          <w:sz w:val="28"/>
          <w:szCs w:val="28"/>
        </w:rPr>
        <w:t xml:space="preserve">MP2.4.0180-20 «Родительский контроль за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</w:t>
      </w:r>
      <w:r w:rsidR="00443562">
        <w:rPr>
          <w:rFonts w:ascii="Times New Roman" w:hAnsi="Times New Roman"/>
          <w:sz w:val="28"/>
          <w:szCs w:val="28"/>
        </w:rPr>
        <w:t>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 xml:space="preserve"> при оценке деятельно</w:t>
      </w:r>
      <w:r w:rsidR="00443562">
        <w:rPr>
          <w:rFonts w:ascii="Times New Roman" w:hAnsi="Times New Roman"/>
          <w:sz w:val="28"/>
          <w:szCs w:val="28"/>
        </w:rPr>
        <w:t>сти руководителя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443562">
        <w:rPr>
          <w:rFonts w:ascii="Times New Roman" w:hAnsi="Times New Roman"/>
          <w:sz w:val="28"/>
          <w:szCs w:val="28"/>
        </w:rPr>
        <w:t xml:space="preserve">я в образовательном </w:t>
      </w:r>
      <w:r w:rsidR="00AC77FA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учреждении 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по следующим критериям:</w:t>
      </w:r>
    </w:p>
    <w:p w:rsidR="00102893" w:rsidRPr="00F35E76" w:rsidRDefault="0044356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>рганолептическая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 xml:space="preserve">готовых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r w:rsidR="000B4D44" w:rsidRPr="00F35E76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0B4D44" w:rsidRPr="00F35E76">
        <w:rPr>
          <w:rFonts w:ascii="Times New Roman" w:hAnsi="Times New Roman"/>
          <w:sz w:val="28"/>
          <w:szCs w:val="28"/>
        </w:rPr>
        <w:t>при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чувств</w:t>
      </w:r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учёти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меню</w:t>
      </w:r>
      <w:r w:rsidR="00443562">
        <w:rPr>
          <w:rFonts w:ascii="Times New Roman" w:hAnsi="Times New Roman"/>
          <w:sz w:val="28"/>
          <w:szCs w:val="28"/>
        </w:rPr>
        <w:t xml:space="preserve"> образовательного</w:t>
      </w:r>
      <w:r w:rsidR="00D2549E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D2549E" w:rsidRPr="00F35E76">
        <w:rPr>
          <w:rFonts w:ascii="Times New Roman" w:hAnsi="Times New Roman"/>
          <w:sz w:val="28"/>
          <w:szCs w:val="28"/>
        </w:rPr>
        <w:t xml:space="preserve">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284E1A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443562" w:rsidRPr="00F35E76">
        <w:rPr>
          <w:rFonts w:ascii="Times New Roman" w:hAnsi="Times New Roman"/>
          <w:sz w:val="28"/>
          <w:szCs w:val="28"/>
        </w:rPr>
        <w:t xml:space="preserve"> </w:t>
      </w:r>
      <w:r w:rsidR="00284E1A" w:rsidRPr="00F35E76">
        <w:rPr>
          <w:rFonts w:ascii="Times New Roman" w:hAnsi="Times New Roman"/>
          <w:sz w:val="28"/>
          <w:szCs w:val="28"/>
        </w:rPr>
        <w:t xml:space="preserve">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>выполнение требования о ежедневном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 размещении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в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>обеденном зале утвержденного руководителем</w:t>
      </w:r>
      <w:r w:rsidR="00443562">
        <w:rPr>
          <w:rFonts w:ascii="Times New Roman" w:hAnsi="Times New Roman"/>
          <w:sz w:val="28"/>
          <w:szCs w:val="28"/>
        </w:rPr>
        <w:t xml:space="preserve">  </w:t>
      </w:r>
      <w:r w:rsidR="00AC28C2" w:rsidRPr="00F35E76">
        <w:rPr>
          <w:rFonts w:ascii="Times New Roman" w:hAnsi="Times New Roman"/>
          <w:sz w:val="28"/>
          <w:szCs w:val="28"/>
        </w:rPr>
        <w:t xml:space="preserve"> 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учреждения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B08DD">
        <w:rPr>
          <w:rFonts w:ascii="Times New Roman" w:hAnsi="Times New Roman"/>
          <w:sz w:val="28"/>
          <w:szCs w:val="28"/>
        </w:rPr>
        <w:t xml:space="preserve"> о</w:t>
      </w:r>
      <w:r w:rsidR="0035478C" w:rsidRPr="00F35E76">
        <w:rPr>
          <w:rFonts w:ascii="Times New Roman" w:hAnsi="Times New Roman"/>
          <w:sz w:val="28"/>
          <w:szCs w:val="28"/>
        </w:rPr>
        <w:t xml:space="preserve">хвата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35478C" w:rsidRPr="00F35E76">
        <w:rPr>
          <w:rFonts w:ascii="Times New Roman" w:hAnsi="Times New Roman"/>
          <w:sz w:val="28"/>
          <w:szCs w:val="28"/>
        </w:rPr>
        <w:t>обучающихся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отсутствие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31" w:rsidRDefault="00C62131" w:rsidP="00236626">
      <w:pPr>
        <w:spacing w:after="0" w:line="240" w:lineRule="auto"/>
      </w:pPr>
      <w:r>
        <w:separator/>
      </w:r>
    </w:p>
  </w:endnote>
  <w:endnote w:type="continuationSeparator" w:id="1">
    <w:p w:rsidR="00C62131" w:rsidRDefault="00C62131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31" w:rsidRDefault="00C62131" w:rsidP="00236626">
      <w:pPr>
        <w:spacing w:after="0" w:line="240" w:lineRule="auto"/>
      </w:pPr>
      <w:r>
        <w:separator/>
      </w:r>
    </w:p>
  </w:footnote>
  <w:footnote w:type="continuationSeparator" w:id="1">
    <w:p w:rsidR="00C62131" w:rsidRDefault="00C62131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011AA1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E44F38">
          <w:rPr>
            <w:noProof/>
          </w:rPr>
          <w:t>2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DD9"/>
    <w:rsid w:val="0000072D"/>
    <w:rsid w:val="0000098E"/>
    <w:rsid w:val="0000423F"/>
    <w:rsid w:val="00004275"/>
    <w:rsid w:val="00011AA1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F32C7"/>
    <w:rsid w:val="000F749C"/>
    <w:rsid w:val="00102893"/>
    <w:rsid w:val="00115C83"/>
    <w:rsid w:val="001252C8"/>
    <w:rsid w:val="00132907"/>
    <w:rsid w:val="00133052"/>
    <w:rsid w:val="001410DF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24EE"/>
    <w:rsid w:val="00284E1A"/>
    <w:rsid w:val="00286976"/>
    <w:rsid w:val="00290242"/>
    <w:rsid w:val="002A12A5"/>
    <w:rsid w:val="002A56B3"/>
    <w:rsid w:val="002B00C0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3EF7"/>
    <w:rsid w:val="00351297"/>
    <w:rsid w:val="0035478C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32ED1"/>
    <w:rsid w:val="00440955"/>
    <w:rsid w:val="00443562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42CFF"/>
    <w:rsid w:val="005569F5"/>
    <w:rsid w:val="00563F88"/>
    <w:rsid w:val="00565DF0"/>
    <w:rsid w:val="00567023"/>
    <w:rsid w:val="00570723"/>
    <w:rsid w:val="0057286A"/>
    <w:rsid w:val="0058244B"/>
    <w:rsid w:val="00585F10"/>
    <w:rsid w:val="005C06CE"/>
    <w:rsid w:val="005C7E0B"/>
    <w:rsid w:val="005E6BA2"/>
    <w:rsid w:val="005F18DE"/>
    <w:rsid w:val="006051FB"/>
    <w:rsid w:val="0060617E"/>
    <w:rsid w:val="0061763F"/>
    <w:rsid w:val="006247E5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D07D3"/>
    <w:rsid w:val="007E2D72"/>
    <w:rsid w:val="007F52E6"/>
    <w:rsid w:val="0080766E"/>
    <w:rsid w:val="00812F60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1DD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618C5"/>
    <w:rsid w:val="00A90375"/>
    <w:rsid w:val="00A91860"/>
    <w:rsid w:val="00A95DCA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9284D"/>
    <w:rsid w:val="00BA23AA"/>
    <w:rsid w:val="00BA416D"/>
    <w:rsid w:val="00BB13F8"/>
    <w:rsid w:val="00BB5566"/>
    <w:rsid w:val="00BC41A2"/>
    <w:rsid w:val="00BC46AB"/>
    <w:rsid w:val="00BC4C88"/>
    <w:rsid w:val="00BC71AE"/>
    <w:rsid w:val="00BE2657"/>
    <w:rsid w:val="00BF0128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62131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B7C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26F4"/>
    <w:rsid w:val="00D87B38"/>
    <w:rsid w:val="00D90111"/>
    <w:rsid w:val="00D942A1"/>
    <w:rsid w:val="00DA1966"/>
    <w:rsid w:val="00DA590B"/>
    <w:rsid w:val="00DB28F8"/>
    <w:rsid w:val="00DB43E0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44F38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893;fld=134;dst=1001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7337;fld=134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095;fld=134;dst=10001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F400-DFB4-44EE-B9C2-7DC3F4F3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10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115</cp:revision>
  <cp:lastPrinted>2020-08-25T07:31:00Z</cp:lastPrinted>
  <dcterms:created xsi:type="dcterms:W3CDTF">2019-05-15T15:20:00Z</dcterms:created>
  <dcterms:modified xsi:type="dcterms:W3CDTF">2020-09-07T14:09:00Z</dcterms:modified>
</cp:coreProperties>
</file>